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CEDA" w14:textId="77777777" w:rsidR="0087657C" w:rsidRDefault="0087657C" w:rsidP="0087657C">
      <w:pPr>
        <w:spacing w:line="240" w:lineRule="auto"/>
        <w:rPr>
          <w:color w:val="262626"/>
          <w:sz w:val="72"/>
          <w:szCs w:val="72"/>
        </w:rPr>
      </w:pPr>
    </w:p>
    <w:p w14:paraId="1ED4430F" w14:textId="77777777" w:rsidR="0087657C" w:rsidRDefault="0087657C" w:rsidP="0087657C">
      <w:pPr>
        <w:spacing w:line="240" w:lineRule="auto"/>
        <w:ind w:left="720" w:right="720"/>
        <w:rPr>
          <w:color w:val="262626"/>
          <w:sz w:val="72"/>
          <w:szCs w:val="72"/>
        </w:rPr>
      </w:pPr>
      <w:r>
        <w:rPr>
          <w:color w:val="262626"/>
          <w:sz w:val="72"/>
          <w:szCs w:val="72"/>
        </w:rPr>
        <w:t>NMIS Consumer Notice</w:t>
      </w:r>
    </w:p>
    <w:p w14:paraId="501D6353" w14:textId="77777777" w:rsidR="0087657C" w:rsidRDefault="0087657C" w:rsidP="0087657C">
      <w:pPr>
        <w:spacing w:before="60" w:after="0" w:line="408" w:lineRule="auto"/>
        <w:ind w:left="720" w:right="720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This Agency may receive funding to provide services for homeless and </w:t>
      </w:r>
      <w:proofErr w:type="gramStart"/>
      <w:r>
        <w:rPr>
          <w:color w:val="404040"/>
          <w:sz w:val="26"/>
          <w:szCs w:val="26"/>
        </w:rPr>
        <w:t>near</w:t>
      </w:r>
      <w:proofErr w:type="gramEnd"/>
      <w:r>
        <w:rPr>
          <w:color w:val="404040"/>
          <w:sz w:val="26"/>
          <w:szCs w:val="26"/>
        </w:rPr>
        <w:t xml:space="preserve"> homeless individuals and their families. A requirement of some funding is that the Agency participates in the Nebraska Management Information System, which collects basic information about clients receiving services from this Agency. This requirement was enacted </w:t>
      </w:r>
      <w:proofErr w:type="gramStart"/>
      <w:r>
        <w:rPr>
          <w:color w:val="404040"/>
          <w:sz w:val="26"/>
          <w:szCs w:val="26"/>
        </w:rPr>
        <w:t>in order to</w:t>
      </w:r>
      <w:proofErr w:type="gramEnd"/>
      <w:r>
        <w:rPr>
          <w:color w:val="404040"/>
          <w:sz w:val="26"/>
          <w:szCs w:val="26"/>
        </w:rPr>
        <w:t xml:space="preserve"> get a more accurate count of individuals and families who are homeless and to identify the need for different services.</w:t>
      </w:r>
    </w:p>
    <w:p w14:paraId="12784EEE" w14:textId="77777777" w:rsidR="0087657C" w:rsidRDefault="0087657C" w:rsidP="0087657C">
      <w:pPr>
        <w:spacing w:before="60" w:after="0" w:line="408" w:lineRule="auto"/>
        <w:ind w:left="720" w:right="720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>We only collect information that we consider to be appropriate. The collection and use of all personal information is guided by strict standards of confidentiality. A copy of our Privacy Notice describing our privacy practice is available to all consumers upon request.</w:t>
      </w:r>
    </w:p>
    <w:p w14:paraId="2C78C9E4" w14:textId="77777777" w:rsidR="0087657C" w:rsidRDefault="0087657C" w:rsidP="0087657C">
      <w:pPr>
        <w:spacing w:before="60" w:after="0" w:line="408" w:lineRule="auto"/>
        <w:ind w:left="720" w:right="720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You do have the ability to share your personal information with other area agencies that participate in the network by completing a </w:t>
      </w:r>
      <w:r>
        <w:rPr>
          <w:rFonts w:ascii="Times New Roman" w:eastAsia="Times New Roman" w:hAnsi="Times New Roman" w:cs="Times New Roman"/>
          <w:color w:val="404040"/>
          <w:sz w:val="26"/>
          <w:szCs w:val="26"/>
        </w:rPr>
        <w:t>“</w:t>
      </w:r>
      <w:r>
        <w:rPr>
          <w:color w:val="404040"/>
          <w:sz w:val="26"/>
          <w:szCs w:val="26"/>
        </w:rPr>
        <w:t>Release of Information</w:t>
      </w:r>
      <w:r>
        <w:rPr>
          <w:rFonts w:ascii="Times New Roman" w:eastAsia="Times New Roman" w:hAnsi="Times New Roman" w:cs="Times New Roman"/>
          <w:color w:val="404040"/>
          <w:sz w:val="26"/>
          <w:szCs w:val="26"/>
        </w:rPr>
        <w:t>”</w:t>
      </w:r>
      <w:r>
        <w:rPr>
          <w:color w:val="404040"/>
          <w:sz w:val="26"/>
          <w:szCs w:val="26"/>
        </w:rPr>
        <w:t xml:space="preserve"> form. This will allow those agencies to work in a cooperative manner to provide you with efficient and effective services.</w:t>
      </w:r>
    </w:p>
    <w:p w14:paraId="30E609F8" w14:textId="77777777" w:rsidR="0087657C" w:rsidRDefault="0087657C" w:rsidP="0087657C">
      <w:pPr>
        <w:spacing w:before="60" w:after="0" w:line="240" w:lineRule="auto"/>
        <w:ind w:left="720" w:right="720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>Public Notice (Federal Register / Vol. 69, No. 146) / Effective August 30, 2004</w:t>
      </w:r>
    </w:p>
    <w:p w14:paraId="04193648" w14:textId="77777777" w:rsidR="0087657C" w:rsidRDefault="0087657C" w:rsidP="0087657C">
      <w:pPr>
        <w:spacing w:before="60" w:after="0" w:line="240" w:lineRule="auto"/>
        <w:ind w:left="720" w:right="720"/>
        <w:rPr>
          <w:color w:val="404040"/>
          <w:sz w:val="26"/>
          <w:szCs w:val="26"/>
        </w:rPr>
      </w:pPr>
    </w:p>
    <w:p w14:paraId="56440AB2" w14:textId="77777777" w:rsidR="0087657C" w:rsidRDefault="0087657C" w:rsidP="0087657C">
      <w:pPr>
        <w:spacing w:before="60" w:after="0" w:line="240" w:lineRule="auto"/>
        <w:ind w:left="720" w:right="720"/>
        <w:rPr>
          <w:color w:val="404040"/>
          <w:sz w:val="26"/>
          <w:szCs w:val="26"/>
        </w:rPr>
      </w:pPr>
    </w:p>
    <w:p w14:paraId="0B5B44C1" w14:textId="77777777" w:rsidR="0087657C" w:rsidRDefault="0087657C" w:rsidP="0087657C">
      <w:pPr>
        <w:spacing w:before="60" w:after="0" w:line="240" w:lineRule="auto"/>
        <w:ind w:left="720" w:right="720"/>
        <w:rPr>
          <w:color w:val="404040"/>
          <w:sz w:val="26"/>
          <w:szCs w:val="26"/>
        </w:rPr>
      </w:pPr>
    </w:p>
    <w:p w14:paraId="47695DC7" w14:textId="77777777" w:rsidR="0087657C" w:rsidRDefault="0087657C" w:rsidP="0087657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5385"/>
      </w:tblGrid>
      <w:tr w:rsidR="0087657C" w14:paraId="104EEA91" w14:textId="77777777" w:rsidTr="00741AC0">
        <w:trPr>
          <w:trHeight w:val="345"/>
        </w:trPr>
        <w:tc>
          <w:tcPr>
            <w:tcW w:w="10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03F87F1" w14:textId="77777777" w:rsidR="0087657C" w:rsidRDefault="0087657C" w:rsidP="00741AC0">
            <w:pPr>
              <w:widowControl w:val="0"/>
              <w:spacing w:after="0" w:line="240" w:lineRule="auto"/>
              <w:ind w:right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Summary Required Elements &amp; Documents</w:t>
            </w:r>
          </w:p>
        </w:tc>
      </w:tr>
      <w:tr w:rsidR="0087657C" w14:paraId="7136C712" w14:textId="77777777" w:rsidTr="00741AC0">
        <w:trPr>
          <w:trHeight w:val="735"/>
        </w:trPr>
        <w:tc>
          <w:tcPr>
            <w:tcW w:w="53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E897120" w14:textId="77777777" w:rsidR="0087657C" w:rsidRDefault="0087657C" w:rsidP="00741AC0">
            <w:pPr>
              <w:widowControl w:val="0"/>
              <w:spacing w:after="0" w:line="240" w:lineRule="auto"/>
              <w:ind w:right="8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Privacy Policy:</w:t>
            </w:r>
            <w:r>
              <w:rPr>
                <w:sz w:val="19"/>
                <w:szCs w:val="19"/>
              </w:rPr>
              <w:t xml:space="preserve"> This document outlines the minimum standard by which an agency collects, utilizes, and discloses information.</w:t>
            </w:r>
          </w:p>
        </w:tc>
        <w:tc>
          <w:tcPr>
            <w:tcW w:w="53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39C5B829" w14:textId="77777777" w:rsidR="0087657C" w:rsidRDefault="0087657C" w:rsidP="00741AC0">
            <w:pPr>
              <w:widowControl w:val="0"/>
              <w:spacing w:after="0" w:line="240" w:lineRule="auto"/>
              <w:ind w:right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Agencies must adopt a privacy statement which meets all minimum standards. It must be posted on your Agency’s local website (if available).</w:t>
            </w:r>
          </w:p>
        </w:tc>
      </w:tr>
      <w:tr w:rsidR="0087657C" w14:paraId="7FABB2C3" w14:textId="77777777" w:rsidTr="00741AC0">
        <w:trPr>
          <w:trHeight w:val="540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5D7FF6FF" w14:textId="77777777" w:rsidR="0087657C" w:rsidRDefault="0087657C" w:rsidP="00741AC0">
            <w:pPr>
              <w:widowControl w:val="0"/>
              <w:spacing w:after="0" w:line="240" w:lineRule="auto"/>
              <w:ind w:right="8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Consumer Notice:</w:t>
            </w:r>
            <w:r>
              <w:rPr>
                <w:sz w:val="19"/>
                <w:szCs w:val="19"/>
              </w:rPr>
              <w:t xml:space="preserve"> This posting explains the reason for asking for personal information and notifies the client of the Privacy Policy.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11337F6A" w14:textId="77777777" w:rsidR="0087657C" w:rsidRDefault="0087657C" w:rsidP="00741AC0">
            <w:pPr>
              <w:widowControl w:val="0"/>
              <w:spacing w:after="0" w:line="240" w:lineRule="auto"/>
              <w:ind w:right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Agencies must adopt and utilize </w:t>
            </w:r>
            <w:proofErr w:type="gramStart"/>
            <w:r>
              <w:rPr>
                <w:sz w:val="19"/>
                <w:szCs w:val="19"/>
              </w:rPr>
              <w:t>a Consumer</w:t>
            </w:r>
            <w:proofErr w:type="gramEnd"/>
            <w:r>
              <w:rPr>
                <w:sz w:val="19"/>
                <w:szCs w:val="19"/>
              </w:rPr>
              <w:t xml:space="preserve"> Notice posting. The NMIS Consumer Notice (Appendix E) meets all HUD requirements.</w:t>
            </w:r>
          </w:p>
        </w:tc>
      </w:tr>
      <w:tr w:rsidR="0087657C" w14:paraId="330597A4" w14:textId="77777777" w:rsidTr="00741AC0">
        <w:trPr>
          <w:trHeight w:val="765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78F5D7F3" w14:textId="77777777" w:rsidR="0087657C" w:rsidRDefault="0087657C" w:rsidP="00741AC0">
            <w:pPr>
              <w:widowControl w:val="0"/>
              <w:spacing w:after="0" w:line="240" w:lineRule="auto"/>
              <w:ind w:right="80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Client Release of Information:</w:t>
            </w:r>
            <w:r>
              <w:rPr>
                <w:sz w:val="19"/>
                <w:szCs w:val="19"/>
              </w:rPr>
              <w:t xml:space="preserve"> This form must be signed by all adult clients. This gives the client the opportunity to refuse sharing of their information with other agencies within HMIS.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0A6A81E3" w14:textId="77777777" w:rsidR="0087657C" w:rsidRDefault="0087657C" w:rsidP="00741AC0">
            <w:pPr>
              <w:widowControl w:val="0"/>
              <w:spacing w:after="0" w:line="240" w:lineRule="auto"/>
              <w:ind w:right="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Client signatures are required prior to inputting information </w:t>
            </w:r>
            <w:proofErr w:type="gramStart"/>
            <w:r>
              <w:rPr>
                <w:sz w:val="19"/>
                <w:szCs w:val="19"/>
              </w:rPr>
              <w:t>in</w:t>
            </w:r>
            <w:proofErr w:type="gramEnd"/>
            <w:r>
              <w:rPr>
                <w:sz w:val="19"/>
                <w:szCs w:val="19"/>
              </w:rPr>
              <w:t xml:space="preserve"> HMIS in a manner that is shared. Agencies must “lock” or restrict access to others if consent is not obtained.</w:t>
            </w:r>
          </w:p>
        </w:tc>
      </w:tr>
    </w:tbl>
    <w:p w14:paraId="5FEE96FD" w14:textId="77777777" w:rsidR="00495B8B" w:rsidRDefault="00495B8B"/>
    <w:sectPr w:rsidR="00495B8B" w:rsidSect="000A68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7C"/>
    <w:rsid w:val="00064EBE"/>
    <w:rsid w:val="000A6850"/>
    <w:rsid w:val="00415074"/>
    <w:rsid w:val="00495B8B"/>
    <w:rsid w:val="00603519"/>
    <w:rsid w:val="00645C2F"/>
    <w:rsid w:val="008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0BF6"/>
  <w15:chartTrackingRefBased/>
  <w15:docId w15:val="{470252D6-C3C5-46E8-9061-9479DE51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7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Buchholz</dc:creator>
  <cp:keywords/>
  <dc:description/>
  <cp:lastModifiedBy>Charlie Lewis</cp:lastModifiedBy>
  <cp:revision>2</cp:revision>
  <dcterms:created xsi:type="dcterms:W3CDTF">2024-01-30T14:16:00Z</dcterms:created>
  <dcterms:modified xsi:type="dcterms:W3CDTF">2024-01-30T14:16:00Z</dcterms:modified>
</cp:coreProperties>
</file>